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CC170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</w:t>
      </w:r>
      <w:r w:rsidR="00F4570B">
        <w:rPr>
          <w:rFonts w:ascii="Times New Roman" w:hAnsi="Times New Roman" w:cs="Times New Roman"/>
          <w:sz w:val="32"/>
          <w:szCs w:val="32"/>
        </w:rPr>
        <w:t>ателье+тюнинг+установка музыки и сигнализации.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920 000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570B">
        <w:rPr>
          <w:rFonts w:ascii="Times New Roman" w:eastAsia="Times New Roman" w:hAnsi="Times New Roman" w:cs="Times New Roman"/>
          <w:bCs/>
          <w:color w:val="000000"/>
          <w:lang w:eastAsia="ru-RU"/>
        </w:rPr>
        <w:t>147 430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4570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275 100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130 000</w:t>
      </w:r>
      <w:r w:rsidR="002F18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18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305"/>
        <w:gridCol w:w="4243"/>
      </w:tblGrid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2F188E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F4570B" w:rsidP="00FF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 кв.м.</w:t>
            </w:r>
            <w:r w:rsidR="00590E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11мес.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+40 кв.м. субаренда посуточная, если нужно.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2F188E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</w:p>
        </w:tc>
      </w:tr>
      <w:tr w:rsidR="00F4570B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2F188E" w:rsidP="0076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Да. Расширение производства реклама.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1136" w:rsidRPr="00C21136" w:rsidRDefault="00C21136" w:rsidP="00C211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color w:val="000000"/>
          <w:sz w:val="22"/>
          <w:szCs w:val="22"/>
        </w:rPr>
        <w:t>Продается ателье по пошиву кожаных салонов, автотюнингу, установке сигнализаций и музыки. Полностью автономный бизнес, не требующий постоянного присутствия собственника. Основные клиенты ателье – постоянные клиенты и клиенты пришедшие с сайта компании. Высокомаржинальный бизнес. Ведется прозрачная система учета. Средняя стоимость замены салона – 30 000 руб. Затраты – 7500 (материалы + работа швеи). Полностью укомплектованный шта</w:t>
      </w:r>
      <w:r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 xml:space="preserve"> сотрудников, которые готовы остаться с новым собственником: менеджер, арматурщик, швея, установщик автозвука, тонировщик, установщик сигнализаций и электроники.</w:t>
      </w:r>
    </w:p>
    <w:p w:rsidR="00764DDF" w:rsidRDefault="00764D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C21136" w:rsidRPr="00C21136" w:rsidRDefault="00590EDF" w:rsidP="005474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C21136">
        <w:rPr>
          <w:b/>
          <w:color w:val="000000"/>
          <w:sz w:val="22"/>
          <w:szCs w:val="22"/>
        </w:rPr>
        <w:t xml:space="preserve"> </w:t>
      </w:r>
      <w:r w:rsidR="00C21136" w:rsidRPr="00C21136">
        <w:rPr>
          <w:rFonts w:ascii="Times New Roman" w:hAnsi="Times New Roman" w:cs="Times New Roman"/>
          <w:color w:val="000000"/>
          <w:sz w:val="22"/>
          <w:szCs w:val="22"/>
        </w:rPr>
        <w:t>производственное помещение 30 кв</w:t>
      </w:r>
      <w:r w:rsidR="00C21136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C21136" w:rsidRPr="00C21136">
        <w:rPr>
          <w:rFonts w:ascii="Times New Roman" w:hAnsi="Times New Roman" w:cs="Times New Roman"/>
          <w:color w:val="000000"/>
          <w:sz w:val="22"/>
          <w:szCs w:val="22"/>
        </w:rPr>
        <w:t>м, прямая аренда, расположение в</w:t>
      </w:r>
    </w:p>
    <w:p w:rsidR="00C21136" w:rsidRPr="00C21136" w:rsidRDefault="00C21136" w:rsidP="005474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color w:val="000000"/>
          <w:sz w:val="22"/>
          <w:szCs w:val="22"/>
        </w:rPr>
        <w:t>торговом зале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автомобильный бокс 40 кв</w:t>
      </w:r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м, субаренда, расположен на территории торгового</w:t>
      </w:r>
    </w:p>
    <w:p w:rsidR="00FF63DB" w:rsidRDefault="00C21136" w:rsidP="005474D2">
      <w:pPr>
        <w:pStyle w:val="HTML"/>
        <w:shd w:val="clear" w:color="auto" w:fill="FFFFFF"/>
        <w:jc w:val="both"/>
        <w:rPr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color w:val="000000"/>
          <w:sz w:val="22"/>
          <w:szCs w:val="22"/>
        </w:rPr>
        <w:t>центра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Оборудование: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швейная машинка для кожи и тяжелых тканей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столешница для швейной машинки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сервомотор для швейной машинки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лампа для швеи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строительный фен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набор ключей автомобильный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набор головок для отверток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отвертки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шуруповерт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феста для обработки торпед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клеевой пистолет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электролобзик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электрочайник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компьютерный стол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ноутбук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wi fi принтер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роутэр с интернетом 5мбтс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натуральная кожа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расходники для швейной машинки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нитки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выставочные сиденья audi q7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сте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лаж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расходные материалы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распылитель клея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21136">
        <w:rPr>
          <w:rFonts w:ascii="Times New Roman" w:hAnsi="Times New Roman" w:cs="Times New Roman"/>
          <w:color w:val="000000"/>
          <w:sz w:val="22"/>
          <w:szCs w:val="22"/>
        </w:rPr>
        <w:t>зарядное устройство для авто</w:t>
      </w:r>
      <w:r w:rsidR="005474D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90EDF" w:rsidRPr="008D1170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аренды, </w:t>
      </w:r>
      <w:r w:rsidR="00FF63DB" w:rsidRPr="00FF63DB">
        <w:rPr>
          <w:color w:val="000000"/>
          <w:sz w:val="20"/>
          <w:szCs w:val="20"/>
          <w:shd w:val="clear" w:color="auto" w:fill="FFFFFF"/>
        </w:rPr>
        <w:t>сайт</w:t>
      </w:r>
      <w:r w:rsidR="005474D2">
        <w:rPr>
          <w:color w:val="000000"/>
          <w:sz w:val="20"/>
          <w:szCs w:val="20"/>
          <w:shd w:val="clear" w:color="auto" w:fill="FFFFFF"/>
        </w:rPr>
        <w:t>, телефоны.</w:t>
      </w:r>
      <w:r w:rsidR="00F4570B">
        <w:rPr>
          <w:color w:val="000000"/>
          <w:sz w:val="20"/>
          <w:szCs w:val="20"/>
          <w:shd w:val="clear" w:color="auto" w:fill="FFFFFF"/>
        </w:rPr>
        <w:t xml:space="preserve"> Система электронного документаоборота.</w:t>
      </w:r>
    </w:p>
    <w:p w:rsidR="00590ED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886C2E">
        <w:rPr>
          <w:color w:val="000000"/>
          <w:sz w:val="22"/>
          <w:szCs w:val="22"/>
        </w:rPr>
        <w:t>смена вида деятельности.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2F188E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ОКУПАЕМОСТЬ 6 МЕСЯЦЕВ</w:t>
      </w:r>
      <w:r w:rsidR="00F4570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 НЕ ТРЕБУЕТ ПОСТОЯННОГО ПРИСУТСВИЯ СОБСТВЕННИКА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28" w:rsidRDefault="00935F28" w:rsidP="006D5DC2">
      <w:pPr>
        <w:spacing w:after="0" w:line="240" w:lineRule="auto"/>
      </w:pPr>
      <w:r>
        <w:separator/>
      </w:r>
    </w:p>
  </w:endnote>
  <w:endnote w:type="continuationSeparator" w:id="0">
    <w:p w:rsidR="00935F28" w:rsidRDefault="00935F2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28" w:rsidRDefault="00935F28" w:rsidP="006D5DC2">
      <w:pPr>
        <w:spacing w:after="0" w:line="240" w:lineRule="auto"/>
      </w:pPr>
      <w:r>
        <w:separator/>
      </w:r>
    </w:p>
  </w:footnote>
  <w:footnote w:type="continuationSeparator" w:id="0">
    <w:p w:rsidR="00935F28" w:rsidRDefault="00935F2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2014-05-26T09:38:00Z</dcterms:created>
  <dcterms:modified xsi:type="dcterms:W3CDTF">2014-05-26T10:27:00Z</dcterms:modified>
</cp:coreProperties>
</file>